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spacing w:lineRule="exact" w:line="460"/>
        <w:ind w:firstLine="20"/>
        <w:jc w:val="distribute"/>
        <w:rPr/>
      </w:pPr>
      <w:bookmarkStart w:id="0" w:name="__DdeLink__166_1748270878"/>
      <w:r>
        <w:rPr>
          <w:rStyle w:val="Style14"/>
          <w:rFonts w:ascii="標楷體" w:hAnsi="標楷體" w:eastAsia="標楷體"/>
          <w:sz w:val="40"/>
        </w:rPr>
        <w:t>教育部國民及學前教育署高級中等以下學校科學教育工作圈設置及運作要點</w:t>
      </w:r>
      <w:bookmarkEnd w:id="0"/>
    </w:p>
    <w:p>
      <w:pPr>
        <w:pStyle w:val="Style21"/>
        <w:tabs>
          <w:tab w:val="clear" w:pos="480"/>
        </w:tabs>
        <w:snapToGrid w:val="false"/>
        <w:spacing w:lineRule="exact" w:line="460"/>
        <w:ind w:left="560" w:hanging="560"/>
        <w:jc w:val="distribute"/>
        <w:rPr/>
      </w:pPr>
      <w:r>
        <w:rPr>
          <w:rStyle w:val="Style14"/>
          <w:rFonts w:ascii="標楷體" w:hAnsi="標楷體" w:eastAsia="標楷體"/>
          <w:sz w:val="28"/>
          <w:szCs w:val="24"/>
        </w:rPr>
        <w:t>一、教育部國民及學前</w:t>
      </w:r>
      <w:r>
        <w:rPr>
          <w:rStyle w:val="Style14"/>
          <w:rFonts w:ascii="標楷體" w:hAnsi="標楷體" w:eastAsia="標楷體"/>
          <w:sz w:val="28"/>
          <w:szCs w:val="28"/>
        </w:rPr>
        <w:t>教育署（以下簡稱本署）為促進科學教育相關中心之橫向及縱向整合，有效達成高級中等以下學校科學教育之短期、中期及長期目標，特設高級中等以下學校科學教育工作圈（以下簡稱工作圈），並訂定本要點。</w:t>
      </w:r>
    </w:p>
    <w:p>
      <w:pPr>
        <w:pStyle w:val="Style21"/>
        <w:tabs>
          <w:tab w:val="clear" w:pos="480"/>
        </w:tabs>
        <w:snapToGrid w:val="false"/>
        <w:spacing w:lineRule="exact" w:line="460"/>
        <w:ind w:left="560" w:hanging="560"/>
        <w:jc w:val="distribute"/>
        <w:rPr>
          <w:rFonts w:ascii="標楷體" w:hAnsi="標楷體" w:eastAsia="標楷體"/>
          <w:sz w:val="28"/>
          <w:szCs w:val="24"/>
        </w:rPr>
      </w:pPr>
      <w:r>
        <w:rPr>
          <w:rFonts w:ascii="標楷體" w:hAnsi="標楷體" w:eastAsia="標楷體"/>
          <w:sz w:val="28"/>
          <w:szCs w:val="24"/>
        </w:rPr>
        <w:t>二、本要點適用之科學教育相關中心如下：</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（一）師範大學科學教育中心。</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（二）高級中等學校數學、物理、化學、生物及地球科學學科中心。</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（三）高級中等學校探究與實作課程推動中心。</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（四）自然領域及數學領域教學研究中心。</w:t>
      </w:r>
    </w:p>
    <w:p>
      <w:pPr>
        <w:pStyle w:val="Style21"/>
        <w:tabs>
          <w:tab w:val="clear" w:pos="480"/>
        </w:tabs>
        <w:snapToGrid w:val="false"/>
        <w:spacing w:lineRule="exact" w:line="460"/>
        <w:ind w:left="560" w:hanging="560"/>
        <w:jc w:val="distribute"/>
        <w:rPr>
          <w:rFonts w:ascii="標楷體" w:hAnsi="標楷體" w:eastAsia="標楷體"/>
          <w:sz w:val="28"/>
          <w:szCs w:val="24"/>
        </w:rPr>
      </w:pPr>
      <w:r>
        <w:rPr>
          <w:rFonts w:ascii="標楷體" w:hAnsi="標楷體" w:eastAsia="標楷體"/>
          <w:sz w:val="28"/>
          <w:szCs w:val="24"/>
        </w:rPr>
        <w:t>三、工作圈之任務如下：</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（一）協助本署研提高級中等以下學校科學教育短期、中期及長期目標。</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（二）提供本署擬訂中小學科學教育中程計畫之諮詢。</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（三）協助教育部及本署就科學教育相關中心年度工作計畫之規劃及成效評估提出建議。</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（四）協助科學教育相關中心推動年度工作計畫之任務。</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（五）促進科學教育相關中心依任務相互支援合作。</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（六）提供本署委託辦理科學教育相關計畫之諮詢。</w:t>
      </w:r>
    </w:p>
    <w:p>
      <w:pPr>
        <w:pStyle w:val="Style21"/>
        <w:tabs>
          <w:tab w:val="clear" w:pos="480"/>
        </w:tabs>
        <w:snapToGrid w:val="false"/>
        <w:spacing w:lineRule="exact" w:line="460"/>
        <w:ind w:left="560" w:hanging="560"/>
        <w:jc w:val="distribute"/>
        <w:rPr>
          <w:rFonts w:ascii="標楷體" w:hAnsi="標楷體" w:eastAsia="標楷體"/>
          <w:sz w:val="28"/>
          <w:szCs w:val="24"/>
        </w:rPr>
      </w:pPr>
      <w:r>
        <w:rPr>
          <w:rFonts w:ascii="標楷體" w:hAnsi="標楷體" w:eastAsia="標楷體"/>
          <w:sz w:val="28"/>
          <w:szCs w:val="24"/>
        </w:rPr>
        <w:t>四、工作圈之組織，規定如下：</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（一）工作圈置成員十三人至十五人，其組成如下：</w:t>
      </w:r>
    </w:p>
    <w:p>
      <w:pPr>
        <w:pStyle w:val="Style22"/>
        <w:snapToGrid w:val="false"/>
        <w:spacing w:lineRule="exact" w:line="460"/>
        <w:ind w:left="1320" w:hanging="0"/>
        <w:jc w:val="distribute"/>
        <w:rPr>
          <w:rFonts w:ascii="標楷體" w:hAnsi="標楷體" w:eastAsia="標楷體"/>
          <w:color w:val="000000"/>
          <w:sz w:val="28"/>
          <w:szCs w:val="28"/>
        </w:rPr>
      </w:pPr>
      <w:r>
        <w:rPr>
          <w:rFonts w:eastAsia="標楷體" w:ascii="標楷體" w:hAnsi="標楷體"/>
          <w:color w:val="000000"/>
          <w:sz w:val="28"/>
          <w:szCs w:val="28"/>
        </w:rPr>
        <w:t>1.</w:t>
      </w:r>
      <w:r>
        <w:rPr>
          <w:rFonts w:ascii="標楷體" w:hAnsi="標楷體" w:eastAsia="標楷體"/>
          <w:color w:val="000000"/>
          <w:sz w:val="28"/>
          <w:szCs w:val="28"/>
        </w:rPr>
        <w:t>召集人一人。</w:t>
      </w:r>
    </w:p>
    <w:p>
      <w:pPr>
        <w:pStyle w:val="Style22"/>
        <w:snapToGrid w:val="false"/>
        <w:spacing w:lineRule="exact" w:line="460"/>
        <w:ind w:left="1320" w:hanging="0"/>
        <w:jc w:val="distribute"/>
        <w:rPr>
          <w:rFonts w:ascii="標楷體" w:hAnsi="標楷體" w:eastAsia="標楷體"/>
          <w:color w:val="000000"/>
          <w:sz w:val="28"/>
          <w:szCs w:val="28"/>
        </w:rPr>
      </w:pPr>
      <w:r>
        <w:rPr>
          <w:rFonts w:eastAsia="標楷體" w:ascii="標楷體" w:hAnsi="標楷體"/>
          <w:color w:val="000000"/>
          <w:sz w:val="28"/>
          <w:szCs w:val="28"/>
        </w:rPr>
        <w:t>2.</w:t>
      </w:r>
      <w:r>
        <w:rPr>
          <w:rFonts w:ascii="標楷體" w:hAnsi="標楷體" w:eastAsia="標楷體"/>
          <w:color w:val="000000"/>
          <w:sz w:val="28"/>
          <w:szCs w:val="28"/>
        </w:rPr>
        <w:t>副召集人一人。</w:t>
      </w:r>
    </w:p>
    <w:p>
      <w:pPr>
        <w:pStyle w:val="Style22"/>
        <w:snapToGrid w:val="false"/>
        <w:spacing w:lineRule="exact" w:line="460"/>
        <w:ind w:left="1320" w:hanging="0"/>
        <w:jc w:val="distribute"/>
        <w:rPr>
          <w:rFonts w:ascii="標楷體" w:hAnsi="標楷體" w:eastAsia="標楷體"/>
          <w:color w:val="000000"/>
          <w:sz w:val="28"/>
          <w:szCs w:val="28"/>
        </w:rPr>
      </w:pPr>
      <w:r>
        <w:rPr>
          <w:rFonts w:eastAsia="標楷體" w:ascii="標楷體" w:hAnsi="標楷體"/>
          <w:color w:val="000000"/>
          <w:sz w:val="28"/>
          <w:szCs w:val="28"/>
        </w:rPr>
        <w:t>3.</w:t>
      </w:r>
      <w:r>
        <w:rPr>
          <w:rFonts w:ascii="標楷體" w:hAnsi="標楷體" w:eastAsia="標楷體"/>
          <w:color w:val="000000"/>
          <w:sz w:val="28"/>
          <w:szCs w:val="28"/>
        </w:rPr>
        <w:t>本署代表二人。</w:t>
      </w:r>
    </w:p>
    <w:p>
      <w:pPr>
        <w:pStyle w:val="Style22"/>
        <w:snapToGrid w:val="false"/>
        <w:spacing w:lineRule="exact" w:line="460"/>
        <w:ind w:left="1320" w:hanging="0"/>
        <w:jc w:val="distribute"/>
        <w:rPr/>
      </w:pPr>
      <w:r>
        <w:rPr>
          <w:rStyle w:val="Style14"/>
          <w:rFonts w:eastAsia="標楷體" w:ascii="標楷體" w:hAnsi="標楷體"/>
          <w:sz w:val="28"/>
          <w:szCs w:val="28"/>
        </w:rPr>
        <w:t>4.</w:t>
      </w:r>
      <w:r>
        <w:rPr>
          <w:rStyle w:val="Style14"/>
          <w:rFonts w:ascii="標楷體" w:hAnsi="標楷體" w:eastAsia="標楷體"/>
          <w:color w:val="000000"/>
          <w:sz w:val="28"/>
          <w:szCs w:val="28"/>
        </w:rPr>
        <w:t>科學教育專家學者</w:t>
      </w:r>
      <w:r>
        <w:rPr>
          <w:rStyle w:val="Style14"/>
          <w:rFonts w:ascii="標楷體" w:hAnsi="標楷體" w:eastAsia="標楷體"/>
          <w:sz w:val="28"/>
          <w:szCs w:val="28"/>
        </w:rPr>
        <w:t>六</w:t>
      </w:r>
      <w:r>
        <w:rPr>
          <w:rStyle w:val="Style14"/>
          <w:rFonts w:ascii="標楷體" w:hAnsi="標楷體" w:eastAsia="標楷體"/>
          <w:color w:val="000000"/>
          <w:sz w:val="28"/>
          <w:szCs w:val="28"/>
        </w:rPr>
        <w:t>人至八人。</w:t>
      </w:r>
    </w:p>
    <w:p>
      <w:pPr>
        <w:pStyle w:val="Style22"/>
        <w:snapToGrid w:val="false"/>
        <w:spacing w:lineRule="exact" w:line="460"/>
        <w:ind w:left="1320" w:hanging="0"/>
        <w:jc w:val="distribute"/>
        <w:rPr/>
      </w:pPr>
      <w:r>
        <w:rPr>
          <w:rStyle w:val="Style14"/>
          <w:rFonts w:eastAsia="標楷體" w:ascii="標楷體" w:hAnsi="標楷體"/>
          <w:sz w:val="28"/>
          <w:szCs w:val="28"/>
        </w:rPr>
        <w:t>5.</w:t>
      </w:r>
      <w:r>
        <w:rPr>
          <w:rStyle w:val="Style14"/>
          <w:rFonts w:ascii="標楷體" w:hAnsi="標楷體" w:eastAsia="標楷體"/>
          <w:color w:val="000000"/>
          <w:sz w:val="28"/>
          <w:szCs w:val="28"/>
        </w:rPr>
        <w:t>高級中等學校、國民中學及國民小學代表各一人。</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二）前款各目成員之產生，第一目召集人由本署聘請科學教育領域之專家學者擔任之、第三目本署代表由本署署長就所屬業務相關之簡任人員派兼之；其他各目成員，由召集人就數學、物理、化學、生物、地球科學或科技等科學教育領域中，具學術地位、國際視野或高級中等以下學校教學實務經驗者提供建議名單，供本署選聘之。</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（三）工作圈成員任期一年，任期屆滿得續任。</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（四）工作圈成員於任期中出缺，致其組成不符第一款規定時，應依第二款規定補聘（派）；補聘（派）成員之任期，至原任期屆滿日為止。</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（五）工作圈成員均為無給職。</w:t>
      </w:r>
    </w:p>
    <w:p>
      <w:pPr>
        <w:pStyle w:val="Style21"/>
        <w:tabs>
          <w:tab w:val="clear" w:pos="480"/>
        </w:tabs>
        <w:snapToGrid w:val="false"/>
        <w:spacing w:lineRule="exact" w:line="460"/>
        <w:ind w:left="560" w:hanging="560"/>
        <w:jc w:val="distribute"/>
        <w:rPr>
          <w:rFonts w:ascii="標楷體" w:hAnsi="標楷體" w:eastAsia="標楷體"/>
          <w:sz w:val="28"/>
          <w:szCs w:val="24"/>
        </w:rPr>
      </w:pPr>
      <w:r>
        <w:rPr>
          <w:rFonts w:ascii="標楷體" w:hAnsi="標楷體" w:eastAsia="標楷體"/>
          <w:sz w:val="28"/>
          <w:szCs w:val="24"/>
        </w:rPr>
        <w:t>五、工作圈之運作方式如下：</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（一）每年召開工作圈會議至少三次，討論及確認年度工作任務之規劃及推動情形。</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（二）調查、蒐集及整合科學教育相關中心、中央課程與教學輔導諮詢教師團隊及科學教育領域專家學者對高級中等以下學校科學教育之意見，包括每三年辦理科學教育領域專家學者座談會至少三次。</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（三）調查、蒐集科學教育相關中心運作現況資料及辦理各中心主持人座談會，使各中心相互了解各自之任務及其推動方式與成效，凝聚其共識，促進相互支援合作。</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（四）協助科學教育相關中心建立自我精進檢核機制，供各中心自我評估任務實施成效。</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（五）每年向本署提出工作報告，提供高級中等以下學校科學教育目標訂定及推動方式持續精進之建議。</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（六）第一款工作圈會議及第三款座談會，由召集人召集，並擔任主席；召集人不克出席會議時，由副召集人代理主席；副召集人亦不克出席會議時，由出席成員互推一人代理主席。</w:t>
      </w:r>
    </w:p>
    <w:p>
      <w:pPr>
        <w:pStyle w:val="Style21"/>
        <w:tabs>
          <w:tab w:val="clear" w:pos="480"/>
        </w:tabs>
        <w:snapToGrid w:val="false"/>
        <w:spacing w:lineRule="exact" w:line="460"/>
        <w:ind w:left="1320" w:hanging="840"/>
        <w:jc w:val="distribute"/>
        <w:rPr>
          <w:rFonts w:ascii="標楷體" w:hAnsi="標楷體" w:eastAsia="標楷體"/>
          <w:sz w:val="28"/>
          <w:szCs w:val="28"/>
        </w:rPr>
      </w:pPr>
      <w:r>
        <w:rPr>
          <w:rFonts w:ascii="標楷體" w:hAnsi="標楷體" w:eastAsia="標楷體"/>
          <w:sz w:val="28"/>
          <w:szCs w:val="28"/>
        </w:rPr>
        <w:t>（七）工作圈成員應親自出席工作圈會議及其他相關會議。但本署代表因故不能出席時，得由其他業務相關人員代理出席。</w:t>
      </w:r>
    </w:p>
    <w:p>
      <w:pPr>
        <w:pStyle w:val="Style21"/>
        <w:tabs>
          <w:tab w:val="clear" w:pos="480"/>
        </w:tabs>
        <w:snapToGrid w:val="false"/>
        <w:spacing w:lineRule="exact" w:line="460"/>
        <w:ind w:left="560" w:hanging="560"/>
        <w:jc w:val="distribute"/>
        <w:rPr/>
      </w:pPr>
      <w:r>
        <w:rPr>
          <w:rStyle w:val="Style14"/>
          <w:rFonts w:ascii="標楷體" w:hAnsi="標楷體" w:eastAsia="標楷體"/>
          <w:sz w:val="28"/>
          <w:szCs w:val="24"/>
        </w:rPr>
        <w:t>六、本署應組成審查小組，辦理工作圈年度工作計畫審查及績效考評。</w:t>
      </w:r>
    </w:p>
    <w:sectPr>
      <w:footerReference w:type="default" r:id="rId2"/>
      <w:type w:val="nextPage"/>
      <w:pgSz w:w="11906" w:h="16838"/>
      <w:pgMar w:left="1701" w:right="1418" w:header="0" w:top="851" w:footer="992" w:bottom="1418"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標楷體">
    <w:charset w:val="88"/>
    <w:family w:val="script"/>
    <w:pitch w:val="fixed"/>
  </w:font>
  <w:font w:name="Times New Roman">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Style w:val="Style14"/>
        <w:rFonts w:ascii="Times New Roman" w:hAnsi="Times New Roman" w:cs="Times New Roman"/>
        <w:lang w:val="zh-TW"/>
      </w:rPr>
      <w:fldChar w:fldCharType="begin"/>
    </w:r>
    <w:r>
      <w:rPr>
        <w:rStyle w:val="Style14"/>
        <w:rFonts w:ascii="Times New Roman" w:hAnsi="Times New Roman" w:cs="Times New Roman"/>
      </w:rPr>
      <w:instrText> PAGE </w:instrText>
    </w:r>
    <w:r>
      <w:rPr>
        <w:rStyle w:val="Style14"/>
        <w:rFonts w:ascii="Times New Roman" w:hAnsi="Times New Roman" w:cs="Times New Roman"/>
      </w:rPr>
      <w:fldChar w:fldCharType="separate"/>
    </w:r>
    <w:r>
      <w:rPr>
        <w:rStyle w:val="Style14"/>
        <w:rFonts w:ascii="Times New Roman" w:hAnsi="Times New Roman" w:cs="Times New Roman"/>
      </w:rPr>
      <w:t>2</w:t>
    </w:r>
    <w:r>
      <w:rPr>
        <w:rStyle w:val="Style14"/>
        <w:rFonts w:ascii="Times New Roman" w:hAnsi="Times New Roman" w:cs="Times New Roman"/>
      </w:rPr>
      <w:fldChar w:fldCharType="end"/>
    </w:r>
  </w:p>
</w:ftr>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頁首 字元"/>
    <w:basedOn w:val="Style14"/>
    <w:qFormat/>
    <w:rPr>
      <w:sz w:val="20"/>
      <w:szCs w:val="20"/>
    </w:rPr>
  </w:style>
  <w:style w:type="character" w:styleId="Style16">
    <w:name w:val="頁尾 字元"/>
    <w:basedOn w:val="Style14"/>
    <w:qFormat/>
    <w:rPr>
      <w:sz w:val="20"/>
      <w:szCs w:val="20"/>
    </w:rPr>
  </w:style>
  <w:style w:type="character" w:styleId="Style17">
    <w:name w:val="註解方塊文字 字元"/>
    <w:basedOn w:val="Style14"/>
    <w:qFormat/>
    <w:rPr>
      <w:rFonts w:ascii="Calibri Light" w:hAnsi="Calibri Light" w:eastAsia="新細明體" w:cs="Times New Roman"/>
      <w:sz w:val="18"/>
      <w:szCs w:val="18"/>
    </w:rPr>
  </w:style>
  <w:style w:type="character" w:styleId="Style18">
    <w:name w:val="註解參照"/>
    <w:basedOn w:val="Style14"/>
    <w:qFormat/>
    <w:rPr>
      <w:sz w:val="18"/>
      <w:szCs w:val="18"/>
    </w:rPr>
  </w:style>
  <w:style w:type="character" w:styleId="Style19">
    <w:name w:val="註解文字 字元"/>
    <w:basedOn w:val="Style14"/>
    <w:qFormat/>
    <w:rPr/>
  </w:style>
  <w:style w:type="character" w:styleId="Style20">
    <w:name w:val="註解主旨 字元"/>
    <w:basedOn w:val="Style19"/>
    <w:qFormat/>
    <w:rPr>
      <w:b/>
      <w:bCs/>
    </w:rPr>
  </w:style>
  <w:style w:type="character" w:styleId="WWCharLFO7LVL1">
    <w:name w:val="WW_CharLFO7LVL1"/>
    <w:qFormat/>
    <w:rPr>
      <w:strike w:val="false"/>
      <w:dstrike w:val="false"/>
      <w:lang w:val="en-US"/>
    </w:rPr>
  </w:style>
  <w:style w:type="character" w:styleId="WWCharLFO10LVL1">
    <w:name w:val="WW_CharLFO10LVL1"/>
    <w:qFormat/>
    <w:rPr>
      <w:lang w:val="en-US"/>
    </w:rPr>
  </w:style>
  <w:style w:type="character" w:styleId="WWCharLFO12LVL1">
    <w:name w:val="WW_CharLFO12LVL1"/>
    <w:qFormat/>
    <w:rPr>
      <w:strike w:val="false"/>
      <w:dstrike w:val="false"/>
    </w:rPr>
  </w:style>
  <w:style w:type="character" w:styleId="WWCharLFO15LVL1">
    <w:name w:val="WW_CharLFO15LVL1"/>
    <w:qFormat/>
    <w:rPr>
      <w:sz w:val="24"/>
    </w:rPr>
  </w:style>
  <w:style w:type="character" w:styleId="WWCharLFO25LVL1">
    <w:name w:val="WW_CharLFO25LVL1"/>
    <w:qFormat/>
    <w:rPr>
      <w:color w:val="auto"/>
    </w:rPr>
  </w:style>
  <w:style w:type="paragraph" w:styleId="Style21">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Style22">
    <w:name w:val="清單段落"/>
    <w:basedOn w:val="Style21"/>
    <w:qFormat/>
    <w:pPr>
      <w:tabs>
        <w:tab w:val="clear" w:pos="480"/>
      </w:tabs>
      <w:suppressAutoHyphens w:val="true"/>
      <w:ind w:left="480" w:hanging="0"/>
    </w:pPr>
    <w:rPr/>
  </w:style>
  <w:style w:type="paragraph" w:styleId="Style23">
    <w:name w:val="Header"/>
    <w:basedOn w:val="Style21"/>
    <w:pPr>
      <w:tabs>
        <w:tab w:val="clear" w:pos="480"/>
        <w:tab w:val="center" w:pos="4153" w:leader="none"/>
        <w:tab w:val="right" w:pos="8306" w:leader="none"/>
      </w:tabs>
      <w:suppressAutoHyphens w:val="true"/>
      <w:snapToGrid w:val="false"/>
    </w:pPr>
    <w:rPr>
      <w:sz w:val="20"/>
      <w:szCs w:val="20"/>
    </w:rPr>
  </w:style>
  <w:style w:type="paragraph" w:styleId="Style24">
    <w:name w:val="Footer"/>
    <w:basedOn w:val="Style21"/>
    <w:pPr>
      <w:tabs>
        <w:tab w:val="clear" w:pos="480"/>
        <w:tab w:val="center" w:pos="4153" w:leader="none"/>
        <w:tab w:val="right" w:pos="8306" w:leader="none"/>
      </w:tabs>
      <w:suppressAutoHyphens w:val="true"/>
      <w:snapToGrid w:val="false"/>
    </w:pPr>
    <w:rPr>
      <w:sz w:val="20"/>
      <w:szCs w:val="20"/>
    </w:rPr>
  </w:style>
  <w:style w:type="paragraph" w:styleId="Style25">
    <w:name w:val="註解方塊文字"/>
    <w:basedOn w:val="Style21"/>
    <w:qFormat/>
    <w:pPr>
      <w:suppressAutoHyphens w:val="true"/>
    </w:pPr>
    <w:rPr>
      <w:rFonts w:ascii="Calibri Light" w:hAnsi="Calibri Light" w:eastAsia="新細明體" w:cs="Times New Roman"/>
      <w:sz w:val="18"/>
      <w:szCs w:val="18"/>
    </w:rPr>
  </w:style>
  <w:style w:type="paragraph" w:styleId="Style26">
    <w:name w:val="註解文字"/>
    <w:basedOn w:val="Style21"/>
    <w:qFormat/>
    <w:pPr>
      <w:suppressAutoHyphens w:val="true"/>
    </w:pPr>
    <w:rPr/>
  </w:style>
  <w:style w:type="paragraph" w:styleId="Style27">
    <w:name w:val="註解主旨"/>
    <w:basedOn w:val="Style26"/>
    <w:next w:val="Style26"/>
    <w:qFormat/>
    <w:pPr>
      <w:suppressAutoHyphens w:val="true"/>
    </w:pPr>
    <w:rPr>
      <w:b/>
      <w:bCs/>
    </w:rPr>
  </w:style>
  <w:style w:type="paragraph" w:styleId="Style28">
    <w:name w:val="修訂"/>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NDC_ODF_Application_Tools/2.0.3$Windows_X86_64 LibreOffice_project/1472acae6e38251b44b07e4fedb25fc989b2f3fb</Application>
  <Pages>2</Pages>
  <Words>187</Words>
  <CharactersWithSpaces>1256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2023-01-07T07:20:00Z</dcterms:created>
  <dc:creator>user</dc:creator>
  <dc:description/>
  <dc:language>zh-TW</dc:language>
  <cp:lastModifiedBy>葉庭瑄</cp:lastModifiedBy>
  <cp:lastPrinted>2022-12-30T05:39:00Z</cp:lastPrinted>
  <dcterms:modified xsi:type="dcterms:W3CDTF">2023-01-07T07:20:00Z</dcterms:modified>
  <cp:revision>2</cp:revision>
  <dc:subject/>
  <dc:title/>
</cp:coreProperties>
</file>